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4118" w14:textId="77777777" w:rsidR="00E80A30" w:rsidRPr="00DD4418" w:rsidRDefault="00E80A30" w:rsidP="00E80A30">
      <w:pPr>
        <w:jc w:val="center"/>
        <w:textAlignment w:val="baseline"/>
        <w:rPr>
          <w:rFonts w:ascii="Avenir Next" w:eastAsia="Times New Roman" w:hAnsi="Avenir Next" w:cs="Segoe UI"/>
          <w:color w:val="000000"/>
          <w:kern w:val="0"/>
          <w:sz w:val="20"/>
          <w:szCs w:val="20"/>
          <w14:ligatures w14:val="none"/>
        </w:rPr>
      </w:pPr>
      <w:r w:rsidRPr="00DD4418">
        <w:rPr>
          <w:rFonts w:ascii="Avenir Next" w:eastAsia="Times New Roman" w:hAnsi="Avenir Next" w:cs="Segoe UI"/>
          <w:noProof/>
          <w:color w:val="000000"/>
          <w:kern w:val="0"/>
          <w:sz w:val="20"/>
          <w:szCs w:val="20"/>
        </w:rPr>
        <w:drawing>
          <wp:inline distT="0" distB="0" distL="0" distR="0" wp14:anchorId="57EACBCB" wp14:editId="512647D9">
            <wp:extent cx="1332411" cy="800158"/>
            <wp:effectExtent l="0" t="0" r="1270" b="0"/>
            <wp:docPr id="1317199944" name="Picture 1" descr="A picture containing tex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199944" name="Picture 1" descr="A picture containing text, font, de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629" cy="82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C3874" w14:textId="77777777" w:rsidR="00801813" w:rsidRPr="00DD4418" w:rsidRDefault="00801813" w:rsidP="00E80A30">
      <w:pPr>
        <w:textAlignment w:val="baseline"/>
        <w:rPr>
          <w:rFonts w:ascii="Avenir Next" w:eastAsia="Times New Roman" w:hAnsi="Avenir Next" w:cs="Segoe UI"/>
          <w:b/>
          <w:bCs/>
          <w:color w:val="9E9D56"/>
          <w:kern w:val="0"/>
          <w:sz w:val="20"/>
          <w:szCs w:val="20"/>
          <w14:ligatures w14:val="none"/>
        </w:rPr>
      </w:pPr>
    </w:p>
    <w:p w14:paraId="3A4B67F6" w14:textId="649E9BCF" w:rsidR="00E80A30" w:rsidRPr="00DD4418" w:rsidRDefault="00801813" w:rsidP="00801813">
      <w:pPr>
        <w:jc w:val="center"/>
        <w:textAlignment w:val="baseline"/>
        <w:rPr>
          <w:rFonts w:ascii="Avenir Next" w:eastAsia="Times New Roman" w:hAnsi="Avenir Next" w:cs="Segoe UI"/>
          <w:b/>
          <w:bCs/>
          <w:color w:val="9E9D56"/>
          <w:kern w:val="0"/>
          <w:sz w:val="28"/>
          <w:szCs w:val="28"/>
          <w14:ligatures w14:val="none"/>
        </w:rPr>
      </w:pPr>
      <w:r w:rsidRPr="00DD4418">
        <w:rPr>
          <w:rFonts w:ascii="Avenir Next" w:eastAsia="Times New Roman" w:hAnsi="Avenir Next" w:cs="Segoe UI"/>
          <w:b/>
          <w:bCs/>
          <w:color w:val="9E9D56"/>
          <w:kern w:val="0"/>
          <w:sz w:val="28"/>
          <w:szCs w:val="28"/>
          <w14:ligatures w14:val="none"/>
        </w:rPr>
        <w:t>Consequences of Endocrine Disruptors</w:t>
      </w:r>
    </w:p>
    <w:p w14:paraId="6C385272" w14:textId="77777777" w:rsidR="00801813" w:rsidRPr="00DD4418" w:rsidRDefault="00801813" w:rsidP="00E80A30">
      <w:pPr>
        <w:textAlignment w:val="baseline"/>
        <w:rPr>
          <w:rFonts w:ascii="Avenir Next" w:eastAsia="Times New Roman" w:hAnsi="Avenir Next" w:cs="Segoe UI"/>
          <w:color w:val="000000"/>
          <w:kern w:val="0"/>
          <w:sz w:val="20"/>
          <w:szCs w:val="20"/>
          <w14:ligatures w14:val="none"/>
        </w:rPr>
      </w:pPr>
    </w:p>
    <w:p w14:paraId="10C4396D" w14:textId="28B56698" w:rsidR="00DD4418" w:rsidRPr="00DD4418" w:rsidRDefault="00DD4418" w:rsidP="00DD4418">
      <w:pPr>
        <w:pStyle w:val="NormalWeb"/>
        <w:shd w:val="clear" w:color="auto" w:fill="FFFFFF"/>
        <w:spacing w:before="0" w:beforeAutospacing="0" w:after="0" w:afterAutospacing="0"/>
        <w:rPr>
          <w:rFonts w:ascii="Avenir Next" w:hAnsi="Avenir Next" w:cs="Arial"/>
          <w:color w:val="5E5E5E"/>
          <w:sz w:val="20"/>
          <w:szCs w:val="20"/>
        </w:rPr>
      </w:pPr>
      <w:r w:rsidRPr="00DD4418">
        <w:rPr>
          <w:rFonts w:ascii="Avenir Next" w:hAnsi="Avenir Next" w:cs="Arial"/>
          <w:color w:val="5E5E5E"/>
          <w:sz w:val="20"/>
          <w:szCs w:val="20"/>
        </w:rPr>
        <w:t>A good example of the devastating consequences of exposure to endocrine disruptors is the use of diethylstilbestrol (DES).  For almost 30 years, this synthetic estrogen was prescribed to as many as 5 million women to help prevent spontaneous abortion and promote fetal growth.  A clinical report published in 1971 associated DES with vaginal adenocarcinoma. This rare form of reproductive tract cancer was detected in a small number of adolescent daughters of women who had taken the drug while pregnant.  A later discovery showed an adverse effect on the reproductive systems of the DES-exposed daughters and was the determinant cause of vaginal cancer.  An estimated 95% of these DES-exposed daughters experienced frequent genitourinary tract problems including: </w:t>
      </w:r>
      <w:r w:rsidRPr="00DD4418">
        <w:rPr>
          <w:rFonts w:ascii="Avenir Next" w:hAnsi="Avenir Next" w:cs="Arial"/>
          <w:color w:val="5E5E5E"/>
          <w:sz w:val="20"/>
          <w:szCs w:val="20"/>
        </w:rPr>
        <w:br/>
      </w:r>
    </w:p>
    <w:p w14:paraId="26C65F7E" w14:textId="77C7247A" w:rsidR="00DD4418" w:rsidRDefault="00DD4418" w:rsidP="00DD4418">
      <w:pPr>
        <w:pStyle w:val="NormalWeb"/>
        <w:shd w:val="clear" w:color="auto" w:fill="FFFFFF"/>
        <w:spacing w:before="0" w:beforeAutospacing="0" w:after="0" w:afterAutospacing="0"/>
        <w:rPr>
          <w:rFonts w:ascii="Avenir Next" w:hAnsi="Avenir Next" w:cs="Arial"/>
          <w:color w:val="5E5E5E"/>
          <w:sz w:val="20"/>
          <w:szCs w:val="20"/>
        </w:rPr>
        <w:sectPr w:rsidR="00DD4418" w:rsidSect="00E80A30">
          <w:pgSz w:w="12240" w:h="15840"/>
          <w:pgMar w:top="612" w:right="1440" w:bottom="504" w:left="1440" w:header="720" w:footer="720" w:gutter="0"/>
          <w:cols w:space="720"/>
          <w:docGrid w:linePitch="360"/>
        </w:sectPr>
      </w:pPr>
    </w:p>
    <w:p w14:paraId="52DBBCE0" w14:textId="77777777" w:rsidR="00DD4418" w:rsidRPr="00DD4418" w:rsidRDefault="00DD4418" w:rsidP="00DD441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venir Next" w:hAnsi="Avenir Next" w:cs="Arial"/>
          <w:color w:val="5E5E5E"/>
          <w:sz w:val="20"/>
          <w:szCs w:val="20"/>
        </w:rPr>
      </w:pPr>
      <w:r w:rsidRPr="00DD4418">
        <w:rPr>
          <w:rFonts w:ascii="Avenir Next" w:hAnsi="Avenir Next" w:cs="Arial"/>
          <w:color w:val="5E5E5E"/>
          <w:sz w:val="20"/>
          <w:szCs w:val="20"/>
        </w:rPr>
        <w:t>Reproductive dysfunction </w:t>
      </w:r>
    </w:p>
    <w:p w14:paraId="52E9B2A4" w14:textId="3C246B38" w:rsidR="00DD4418" w:rsidRPr="00DD4418" w:rsidRDefault="00DD4418" w:rsidP="00DD441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venir Next" w:hAnsi="Avenir Next" w:cs="Arial"/>
          <w:color w:val="5E5E5E"/>
          <w:sz w:val="20"/>
          <w:szCs w:val="20"/>
        </w:rPr>
      </w:pPr>
      <w:r w:rsidRPr="00DD4418">
        <w:rPr>
          <w:rFonts w:ascii="Avenir Next" w:hAnsi="Avenir Next" w:cs="Arial"/>
          <w:color w:val="5E5E5E"/>
          <w:sz w:val="20"/>
          <w:szCs w:val="20"/>
        </w:rPr>
        <w:t>Abnormal pregnancies </w:t>
      </w:r>
    </w:p>
    <w:p w14:paraId="6A77328A" w14:textId="02E46604" w:rsidR="00DD4418" w:rsidRPr="00DD4418" w:rsidRDefault="00DD4418" w:rsidP="00DD441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venir Next" w:hAnsi="Avenir Next" w:cs="Arial"/>
          <w:color w:val="5E5E5E"/>
          <w:sz w:val="20"/>
          <w:szCs w:val="20"/>
        </w:rPr>
      </w:pPr>
      <w:r w:rsidRPr="00DD4418">
        <w:rPr>
          <w:rFonts w:ascii="Avenir Next" w:hAnsi="Avenir Next" w:cs="Arial"/>
          <w:color w:val="5E5E5E"/>
          <w:sz w:val="20"/>
          <w:szCs w:val="20"/>
        </w:rPr>
        <w:t>Reduced fertility </w:t>
      </w:r>
    </w:p>
    <w:p w14:paraId="234A1FAB" w14:textId="21D17CA5" w:rsidR="00DD4418" w:rsidRDefault="00DD4418" w:rsidP="00DD441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venir Next" w:hAnsi="Avenir Next" w:cs="Arial"/>
          <w:color w:val="5E5E5E"/>
          <w:sz w:val="20"/>
          <w:szCs w:val="20"/>
        </w:rPr>
        <w:sectPr w:rsidR="00DD4418" w:rsidSect="00DD4418">
          <w:type w:val="continuous"/>
          <w:pgSz w:w="12240" w:h="15840"/>
          <w:pgMar w:top="612" w:right="1440" w:bottom="504" w:left="1440" w:header="720" w:footer="720" w:gutter="0"/>
          <w:cols w:num="2" w:space="720"/>
          <w:docGrid w:linePitch="360"/>
        </w:sectPr>
      </w:pPr>
      <w:r w:rsidRPr="00DD4418">
        <w:rPr>
          <w:rFonts w:ascii="Avenir Next" w:hAnsi="Avenir Next" w:cs="Arial"/>
          <w:color w:val="5E5E5E"/>
          <w:sz w:val="20"/>
          <w:szCs w:val="20"/>
        </w:rPr>
        <w:t>Immune system disorders </w:t>
      </w:r>
    </w:p>
    <w:p w14:paraId="5906AB4E" w14:textId="522DA385" w:rsidR="00DD4418" w:rsidRPr="00DD4418" w:rsidRDefault="00DD4418" w:rsidP="00DD4418">
      <w:pPr>
        <w:pStyle w:val="NormalWeb"/>
        <w:shd w:val="clear" w:color="auto" w:fill="FFFFFF"/>
        <w:spacing w:before="0" w:beforeAutospacing="0" w:after="0" w:afterAutospacing="0"/>
        <w:rPr>
          <w:rFonts w:ascii="Avenir Next" w:hAnsi="Avenir Next" w:cs="Arial"/>
          <w:color w:val="5E5E5E"/>
          <w:sz w:val="20"/>
          <w:szCs w:val="20"/>
        </w:rPr>
      </w:pPr>
      <w:r w:rsidRPr="00DD4418">
        <w:rPr>
          <w:rFonts w:ascii="Avenir Next" w:hAnsi="Avenir Next" w:cs="Arial"/>
          <w:color w:val="5E5E5E"/>
          <w:sz w:val="20"/>
          <w:szCs w:val="20"/>
        </w:rPr>
        <w:br/>
      </w:r>
    </w:p>
    <w:p w14:paraId="6FE6B22A" w14:textId="77777777" w:rsidR="00DD4418" w:rsidRPr="00DD4418" w:rsidRDefault="00DD4418" w:rsidP="00DD4418">
      <w:pPr>
        <w:pStyle w:val="NormalWeb"/>
        <w:shd w:val="clear" w:color="auto" w:fill="FFFFFF"/>
        <w:spacing w:before="0" w:beforeAutospacing="0" w:after="0" w:afterAutospacing="0"/>
        <w:rPr>
          <w:rFonts w:ascii="Avenir Next" w:hAnsi="Avenir Next" w:cs="Arial"/>
          <w:color w:val="5E5E5E"/>
          <w:sz w:val="20"/>
          <w:szCs w:val="20"/>
        </w:rPr>
      </w:pPr>
      <w:r w:rsidRPr="00DD4418">
        <w:rPr>
          <w:rFonts w:ascii="Avenir Next" w:hAnsi="Avenir Next" w:cs="Arial"/>
          <w:color w:val="5E5E5E"/>
          <w:sz w:val="20"/>
          <w:szCs w:val="20"/>
        </w:rPr>
        <w:t>Similarly, male offspring with prenatal DES exposure experienced: </w:t>
      </w:r>
    </w:p>
    <w:p w14:paraId="004DE581" w14:textId="3FA4B86A" w:rsidR="00DD4418" w:rsidRPr="00DD4418" w:rsidRDefault="00DD4418" w:rsidP="002A556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venir Next" w:hAnsi="Avenir Next" w:cs="Arial"/>
          <w:color w:val="5E5E5E"/>
          <w:sz w:val="20"/>
          <w:szCs w:val="20"/>
        </w:rPr>
      </w:pPr>
      <w:r w:rsidRPr="00DD4418">
        <w:rPr>
          <w:rFonts w:ascii="Avenir Next" w:hAnsi="Avenir Next" w:cs="Arial"/>
          <w:color w:val="5E5E5E"/>
          <w:sz w:val="20"/>
          <w:szCs w:val="20"/>
        </w:rPr>
        <w:t>Hypospadias, a birth defect in boys in which the opening of the urethra is not located at the tip of the penis. </w:t>
      </w:r>
    </w:p>
    <w:p w14:paraId="476A3D3C" w14:textId="1442F025" w:rsidR="00DD4418" w:rsidRPr="00DD4418" w:rsidRDefault="00DD4418" w:rsidP="002A556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venir Next" w:hAnsi="Avenir Next" w:cs="Arial"/>
          <w:color w:val="5E5E5E"/>
          <w:sz w:val="20"/>
          <w:szCs w:val="20"/>
        </w:rPr>
      </w:pPr>
      <w:r w:rsidRPr="00DD4418">
        <w:rPr>
          <w:rFonts w:ascii="Avenir Next" w:hAnsi="Avenir Next" w:cs="Arial"/>
          <w:color w:val="5E5E5E"/>
          <w:sz w:val="20"/>
          <w:szCs w:val="20"/>
        </w:rPr>
        <w:t>Microphallus </w:t>
      </w:r>
      <w:r w:rsidRPr="00DD4418">
        <w:rPr>
          <w:rStyle w:val="Emphasis"/>
          <w:rFonts w:ascii="Avenir Next" w:hAnsi="Avenir Next" w:cs="Arial"/>
          <w:color w:val="5E5E5E"/>
          <w:sz w:val="20"/>
          <w:szCs w:val="20"/>
        </w:rPr>
        <w:t>(</w:t>
      </w:r>
      <w:proofErr w:type="spellStart"/>
      <w:r w:rsidRPr="00DD4418">
        <w:rPr>
          <w:rFonts w:ascii="Avenir Next" w:hAnsi="Avenir Next" w:cs="Arial"/>
          <w:color w:val="5E5E5E"/>
          <w:sz w:val="20"/>
          <w:szCs w:val="20"/>
        </w:rPr>
        <w:t>micropenis</w:t>
      </w:r>
      <w:proofErr w:type="spellEnd"/>
      <w:r w:rsidRPr="00DD4418">
        <w:rPr>
          <w:rStyle w:val="Emphasis"/>
          <w:rFonts w:ascii="Avenir Next" w:hAnsi="Avenir Next" w:cs="Arial"/>
          <w:color w:val="5E5E5E"/>
          <w:sz w:val="20"/>
          <w:szCs w:val="20"/>
        </w:rPr>
        <w:t>),</w:t>
      </w:r>
      <w:r>
        <w:rPr>
          <w:rStyle w:val="Emphasis"/>
          <w:rFonts w:ascii="Avenir Next" w:hAnsi="Avenir Next" w:cs="Arial"/>
          <w:color w:val="5E5E5E"/>
          <w:sz w:val="20"/>
          <w:szCs w:val="20"/>
        </w:rPr>
        <w:t xml:space="preserve"> </w:t>
      </w:r>
      <w:r w:rsidRPr="00DD4418">
        <w:rPr>
          <w:rFonts w:ascii="Avenir Next" w:hAnsi="Avenir Next" w:cs="Arial"/>
          <w:color w:val="5E5E5E"/>
          <w:sz w:val="20"/>
          <w:szCs w:val="20"/>
        </w:rPr>
        <w:t>defined as a stretched penile length of less than 2.5 standard deviations </w:t>
      </w:r>
      <w:r w:rsidRPr="00DD4418">
        <w:rPr>
          <w:rStyle w:val="Emphasis"/>
          <w:rFonts w:ascii="Avenir Next" w:hAnsi="Avenir Next" w:cs="Arial"/>
          <w:color w:val="5E5E5E"/>
          <w:sz w:val="20"/>
          <w:szCs w:val="20"/>
        </w:rPr>
        <w:t>(SDs)</w:t>
      </w:r>
      <w:r w:rsidRPr="00DD4418">
        <w:rPr>
          <w:rFonts w:ascii="Avenir Next" w:hAnsi="Avenir Next" w:cs="Arial"/>
          <w:color w:val="5E5E5E"/>
          <w:sz w:val="20"/>
          <w:szCs w:val="20"/>
        </w:rPr>
        <w:t> below the mean for age.  </w:t>
      </w:r>
    </w:p>
    <w:p w14:paraId="51BC098E" w14:textId="0C35A2DA" w:rsidR="00DD4418" w:rsidRPr="00DD4418" w:rsidRDefault="00DD4418" w:rsidP="002A556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venir Next" w:hAnsi="Avenir Next" w:cs="Arial"/>
          <w:color w:val="5E5E5E"/>
          <w:sz w:val="20"/>
          <w:szCs w:val="20"/>
        </w:rPr>
      </w:pPr>
      <w:r w:rsidRPr="00DD4418">
        <w:rPr>
          <w:rFonts w:ascii="Avenir Next" w:hAnsi="Avenir Next" w:cs="Arial"/>
          <w:color w:val="5E5E5E"/>
          <w:sz w:val="20"/>
          <w:szCs w:val="20"/>
        </w:rPr>
        <w:t>Retained testes </w:t>
      </w:r>
      <w:r w:rsidRPr="00DD4418">
        <w:rPr>
          <w:rStyle w:val="Emphasis"/>
          <w:rFonts w:ascii="Avenir Next" w:hAnsi="Avenir Next" w:cs="Arial"/>
          <w:color w:val="5E5E5E"/>
          <w:sz w:val="20"/>
          <w:szCs w:val="20"/>
        </w:rPr>
        <w:t>(undescended testicle), </w:t>
      </w:r>
      <w:r w:rsidRPr="00DD4418">
        <w:rPr>
          <w:rFonts w:ascii="Avenir Next" w:hAnsi="Avenir Next" w:cs="Arial"/>
          <w:color w:val="5E5E5E"/>
          <w:sz w:val="20"/>
          <w:szCs w:val="20"/>
        </w:rPr>
        <w:t>or a testicle that hasn't moved into its proper position in the scrotum before birth.  </w:t>
      </w:r>
    </w:p>
    <w:p w14:paraId="35C75DE2" w14:textId="46934A65" w:rsidR="00DD4418" w:rsidRPr="00DD4418" w:rsidRDefault="00DD4418" w:rsidP="002A556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venir Next" w:hAnsi="Avenir Next" w:cs="Arial"/>
          <w:color w:val="5E5E5E"/>
          <w:sz w:val="20"/>
          <w:szCs w:val="20"/>
        </w:rPr>
      </w:pPr>
      <w:r w:rsidRPr="00DD4418">
        <w:rPr>
          <w:rFonts w:ascii="Avenir Next" w:hAnsi="Avenir Next" w:cs="Arial"/>
          <w:color w:val="5E5E5E"/>
          <w:sz w:val="20"/>
          <w:szCs w:val="20"/>
        </w:rPr>
        <w:t>Decreased fertility </w:t>
      </w:r>
    </w:p>
    <w:p w14:paraId="3C698403" w14:textId="77777777" w:rsidR="00DD4418" w:rsidRPr="00DD4418" w:rsidRDefault="00DD4418" w:rsidP="00DD4418">
      <w:pPr>
        <w:pStyle w:val="NormalWeb"/>
        <w:shd w:val="clear" w:color="auto" w:fill="FFFFFF"/>
        <w:spacing w:before="0" w:beforeAutospacing="0" w:after="0" w:afterAutospacing="0"/>
        <w:rPr>
          <w:rFonts w:ascii="Avenir Next" w:hAnsi="Avenir Next" w:cs="Arial"/>
          <w:color w:val="5E5E5E"/>
          <w:sz w:val="20"/>
          <w:szCs w:val="20"/>
        </w:rPr>
      </w:pPr>
      <w:r w:rsidRPr="00DD4418">
        <w:rPr>
          <w:rFonts w:ascii="Avenir Next" w:hAnsi="Avenir Next" w:cs="Arial"/>
          <w:color w:val="5E5E5E"/>
          <w:sz w:val="20"/>
          <w:szCs w:val="20"/>
        </w:rPr>
        <w:br/>
      </w:r>
    </w:p>
    <w:p w14:paraId="36FA49EC" w14:textId="77777777" w:rsidR="00DD4418" w:rsidRPr="00DD4418" w:rsidRDefault="00DD4418" w:rsidP="00DD4418">
      <w:pPr>
        <w:pStyle w:val="NormalWeb"/>
        <w:shd w:val="clear" w:color="auto" w:fill="FFFFFF"/>
        <w:spacing w:before="0" w:beforeAutospacing="0" w:after="0" w:afterAutospacing="0"/>
        <w:rPr>
          <w:rFonts w:ascii="Avenir Next" w:hAnsi="Avenir Next" w:cs="Arial"/>
          <w:color w:val="5E5E5E"/>
          <w:sz w:val="20"/>
          <w:szCs w:val="20"/>
        </w:rPr>
      </w:pPr>
      <w:r w:rsidRPr="00DD4418">
        <w:rPr>
          <w:rFonts w:ascii="Avenir Next" w:hAnsi="Avenir Next" w:cs="Arial"/>
          <w:color w:val="5E5E5E"/>
          <w:sz w:val="20"/>
          <w:szCs w:val="20"/>
        </w:rPr>
        <w:t>It was also shown that DES could pass through the placenta and have direct effects on a developing fetus. This medical catastrophe became the first example of an in-utero toxicant in humans.  Multiple studies have reported decline in both the quality and quantity of sperm production showing the generational effects a chemical hormone disruptor can have.  Historically speaking, DES is thought to be the first endocrine-disrupting chemical but in truth, it is likely just the first known. </w:t>
      </w:r>
    </w:p>
    <w:p w14:paraId="3AF2AC9D" w14:textId="77777777" w:rsidR="00DD4418" w:rsidRPr="00DD4418" w:rsidRDefault="00DD4418" w:rsidP="00DD4418">
      <w:pPr>
        <w:pStyle w:val="NormalWeb"/>
        <w:shd w:val="clear" w:color="auto" w:fill="FFFFFF"/>
        <w:spacing w:before="0" w:beforeAutospacing="0" w:after="0" w:afterAutospacing="0"/>
        <w:rPr>
          <w:rFonts w:ascii="Avenir Next" w:hAnsi="Avenir Next" w:cs="Arial"/>
          <w:color w:val="5E5E5E"/>
          <w:sz w:val="20"/>
          <w:szCs w:val="20"/>
        </w:rPr>
      </w:pPr>
      <w:r w:rsidRPr="00DD4418">
        <w:rPr>
          <w:rFonts w:ascii="Avenir Next" w:hAnsi="Avenir Next" w:cs="Arial"/>
          <w:color w:val="5E5E5E"/>
          <w:sz w:val="20"/>
          <w:szCs w:val="20"/>
        </w:rPr>
        <w:br/>
      </w:r>
    </w:p>
    <w:p w14:paraId="0AD4E0A0" w14:textId="77777777" w:rsidR="00DD4418" w:rsidRPr="00DD4418" w:rsidRDefault="00DD4418" w:rsidP="00DD4418">
      <w:pPr>
        <w:pStyle w:val="NormalWeb"/>
        <w:shd w:val="clear" w:color="auto" w:fill="FFFFFF"/>
        <w:spacing w:before="0" w:beforeAutospacing="0" w:after="0" w:afterAutospacing="0"/>
        <w:rPr>
          <w:rFonts w:ascii="Avenir Next" w:hAnsi="Avenir Next" w:cs="Arial"/>
          <w:color w:val="5E5E5E"/>
          <w:sz w:val="20"/>
          <w:szCs w:val="20"/>
        </w:rPr>
      </w:pPr>
      <w:r w:rsidRPr="00DD4418">
        <w:rPr>
          <w:rFonts w:ascii="Avenir Next" w:hAnsi="Avenir Next" w:cs="Arial"/>
          <w:color w:val="5E5E5E"/>
          <w:sz w:val="20"/>
          <w:szCs w:val="20"/>
        </w:rPr>
        <w:t>Thankfully, DES is no longer used in pregnant women, but it is still a therapeutic option for other medical conditions. As far as the children of DES-exposed women are concerned, females face a significantly higher risk for certain cancers and infertility. We are still dealing with the ramifications of exposure that occurred more than 50 years ago.  More recently, second-generation effects have been reported putting yet </w:t>
      </w:r>
      <w:r w:rsidRPr="00DD4418">
        <w:rPr>
          <w:rStyle w:val="Emphasis"/>
          <w:rFonts w:ascii="Avenir Next" w:hAnsi="Avenir Next" w:cs="Arial"/>
          <w:color w:val="5E5E5E"/>
          <w:sz w:val="20"/>
          <w:szCs w:val="20"/>
        </w:rPr>
        <w:t>another </w:t>
      </w:r>
      <w:r w:rsidRPr="00DD4418">
        <w:rPr>
          <w:rFonts w:ascii="Avenir Next" w:hAnsi="Avenir Next" w:cs="Arial"/>
          <w:color w:val="5E5E5E"/>
          <w:sz w:val="20"/>
          <w:szCs w:val="20"/>
        </w:rPr>
        <w:t>generation at risk for developing further serious health consequences as the result of their grandmothers’ exposure to a single toxic endocrine disrupter. </w:t>
      </w:r>
    </w:p>
    <w:p w14:paraId="2C25ABE9" w14:textId="77777777" w:rsidR="004E2982" w:rsidRPr="00DD4418" w:rsidRDefault="004E2982">
      <w:pPr>
        <w:rPr>
          <w:rFonts w:ascii="Avenir Next" w:hAnsi="Avenir Next"/>
        </w:rPr>
      </w:pPr>
    </w:p>
    <w:sectPr w:rsidR="004E2982" w:rsidRPr="00DD4418" w:rsidSect="00DD4418">
      <w:type w:val="continuous"/>
      <w:pgSz w:w="12240" w:h="15840"/>
      <w:pgMar w:top="612" w:right="1440" w:bottom="5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6CC"/>
    <w:multiLevelType w:val="hybridMultilevel"/>
    <w:tmpl w:val="9F78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31296"/>
    <w:multiLevelType w:val="multilevel"/>
    <w:tmpl w:val="6EE4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876659"/>
    <w:multiLevelType w:val="hybridMultilevel"/>
    <w:tmpl w:val="830E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039E1"/>
    <w:multiLevelType w:val="multilevel"/>
    <w:tmpl w:val="6FB6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414AB8"/>
    <w:multiLevelType w:val="hybridMultilevel"/>
    <w:tmpl w:val="61BC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148C8"/>
    <w:multiLevelType w:val="hybridMultilevel"/>
    <w:tmpl w:val="4A1E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E0A8C">
      <w:numFmt w:val="bullet"/>
      <w:lvlText w:val="·"/>
      <w:lvlJc w:val="left"/>
      <w:pPr>
        <w:ind w:left="1440" w:hanging="360"/>
      </w:pPr>
      <w:rPr>
        <w:rFonts w:ascii="Avenir Next" w:eastAsia="Times New Roman" w:hAnsi="Avenir Next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30942">
    <w:abstractNumId w:val="1"/>
  </w:num>
  <w:num w:numId="2" w16cid:durableId="1747650954">
    <w:abstractNumId w:val="3"/>
  </w:num>
  <w:num w:numId="3" w16cid:durableId="1136525448">
    <w:abstractNumId w:val="0"/>
  </w:num>
  <w:num w:numId="4" w16cid:durableId="1552305263">
    <w:abstractNumId w:val="5"/>
  </w:num>
  <w:num w:numId="5" w16cid:durableId="1719432497">
    <w:abstractNumId w:val="2"/>
  </w:num>
  <w:num w:numId="6" w16cid:durableId="1328366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30"/>
    <w:rsid w:val="000E5065"/>
    <w:rsid w:val="002A5560"/>
    <w:rsid w:val="004C1B2A"/>
    <w:rsid w:val="004E2982"/>
    <w:rsid w:val="00567682"/>
    <w:rsid w:val="00801813"/>
    <w:rsid w:val="00DD4418"/>
    <w:rsid w:val="00E80A30"/>
    <w:rsid w:val="00F7370F"/>
    <w:rsid w:val="00F9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58EC45"/>
  <w15:chartTrackingRefBased/>
  <w15:docId w15:val="{A051AFD7-6388-6740-9161-803850D2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4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DD44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4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Deile Smith</dc:creator>
  <cp:keywords/>
  <dc:description/>
  <cp:lastModifiedBy>Deile Smith</cp:lastModifiedBy>
  <cp:revision>3</cp:revision>
  <dcterms:created xsi:type="dcterms:W3CDTF">2023-05-25T17:38:00Z</dcterms:created>
  <dcterms:modified xsi:type="dcterms:W3CDTF">2023-06-01T13:58:00Z</dcterms:modified>
</cp:coreProperties>
</file>